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F" w:rsidRPr="0057290A" w:rsidRDefault="0057290A" w:rsidP="0057290A">
      <w:pPr>
        <w:jc w:val="center"/>
        <w:rPr>
          <w:b/>
        </w:rPr>
      </w:pPr>
      <w:bookmarkStart w:id="0" w:name="_GoBack"/>
      <w:bookmarkEnd w:id="0"/>
      <w:r w:rsidRPr="0057290A">
        <w:rPr>
          <w:b/>
        </w:rPr>
        <w:t xml:space="preserve">HIV </w:t>
      </w:r>
      <w:r>
        <w:rPr>
          <w:b/>
        </w:rPr>
        <w:t xml:space="preserve">Training Track </w:t>
      </w:r>
      <w:r w:rsidRPr="0057290A">
        <w:rPr>
          <w:b/>
        </w:rPr>
        <w:t xml:space="preserve">Entrustable Professional Activities (EPAs) and </w:t>
      </w:r>
      <w:r>
        <w:rPr>
          <w:b/>
        </w:rPr>
        <w:t xml:space="preserve">Specific </w:t>
      </w:r>
      <w:r w:rsidRPr="0057290A">
        <w:rPr>
          <w:b/>
        </w:rPr>
        <w:t>Assessment Tools</w:t>
      </w:r>
    </w:p>
    <w:p w:rsidR="00456DE1" w:rsidRDefault="00456DE1" w:rsidP="0014758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4230"/>
      </w:tblGrid>
      <w:tr w:rsidR="0057290A" w:rsidRPr="00560649" w:rsidTr="0014758F">
        <w:tc>
          <w:tcPr>
            <w:tcW w:w="3618" w:type="dxa"/>
          </w:tcPr>
          <w:p w:rsidR="0057290A" w:rsidRPr="00560649" w:rsidRDefault="0057290A" w:rsidP="00560649">
            <w:pPr>
              <w:pStyle w:val="ListParagraph"/>
              <w:ind w:left="0"/>
              <w:jc w:val="center"/>
              <w:rPr>
                <w:b/>
              </w:rPr>
            </w:pPr>
            <w:r w:rsidRPr="00560649">
              <w:rPr>
                <w:b/>
              </w:rPr>
              <w:t>EPA</w:t>
            </w:r>
          </w:p>
        </w:tc>
        <w:tc>
          <w:tcPr>
            <w:tcW w:w="4230" w:type="dxa"/>
          </w:tcPr>
          <w:p w:rsidR="0057290A" w:rsidRPr="00560649" w:rsidRDefault="0057290A" w:rsidP="0056064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EPA-specific</w:t>
            </w:r>
            <w:r w:rsidR="001A6CE7">
              <w:rPr>
                <w:b/>
              </w:rPr>
              <w:t xml:space="preserve"> </w:t>
            </w:r>
            <w:r w:rsidRPr="00560649">
              <w:rPr>
                <w:b/>
              </w:rPr>
              <w:t>Assessment Tools</w:t>
            </w:r>
            <w:r>
              <w:rPr>
                <w:b/>
              </w:rPr>
              <w:t>*</w:t>
            </w:r>
          </w:p>
        </w:tc>
      </w:tr>
      <w:tr w:rsidR="0057290A" w:rsidTr="0014758F">
        <w:tc>
          <w:tcPr>
            <w:tcW w:w="3618" w:type="dxa"/>
          </w:tcPr>
          <w:p w:rsidR="0057290A" w:rsidRDefault="0014758F" w:rsidP="00327B75">
            <w:pPr>
              <w:pStyle w:val="ListParagraph"/>
              <w:numPr>
                <w:ilvl w:val="0"/>
                <w:numId w:val="3"/>
              </w:numPr>
            </w:pPr>
            <w:r>
              <w:t xml:space="preserve">Perform HIV </w:t>
            </w:r>
            <w:r w:rsidR="0057290A">
              <w:t>Counseling and Testing</w:t>
            </w: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5"/>
              </w:numPr>
            </w:pPr>
            <w:r>
              <w:t xml:space="preserve">FRAMEWORK- </w:t>
            </w:r>
            <w:r w:rsidR="002146DC">
              <w:t>breaking bad news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5"/>
              </w:numPr>
            </w:pPr>
            <w:r>
              <w:t>IAS COW #57</w:t>
            </w:r>
          </w:p>
          <w:p w:rsidR="0057290A" w:rsidRDefault="0057290A" w:rsidP="0014758F">
            <w:pPr>
              <w:pStyle w:val="ListParagraph"/>
              <w:numPr>
                <w:ilvl w:val="0"/>
                <w:numId w:val="5"/>
              </w:numPr>
            </w:pPr>
            <w:r>
              <w:t>SP session</w:t>
            </w:r>
            <w:r w:rsidR="002146DC">
              <w:t xml:space="preserve"> #1- HIV testing-counseling/results</w:t>
            </w:r>
          </w:p>
        </w:tc>
      </w:tr>
      <w:tr w:rsidR="0057290A" w:rsidTr="0014758F">
        <w:tc>
          <w:tcPr>
            <w:tcW w:w="3618" w:type="dxa"/>
          </w:tcPr>
          <w:p w:rsidR="0057290A" w:rsidRDefault="0057290A" w:rsidP="00327B75">
            <w:pPr>
              <w:pStyle w:val="ListParagraph"/>
              <w:numPr>
                <w:ilvl w:val="0"/>
                <w:numId w:val="3"/>
              </w:numPr>
            </w:pPr>
            <w:r>
              <w:t>Assess</w:t>
            </w:r>
            <w:r w:rsidR="0014758F">
              <w:t xml:space="preserve"> patients with</w:t>
            </w:r>
            <w:r>
              <w:t xml:space="preserve"> ne</w:t>
            </w:r>
            <w:r w:rsidR="0014758F">
              <w:t>wly diagnosed HIV infection or new to care</w:t>
            </w: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6"/>
              </w:numPr>
            </w:pPr>
            <w:r>
              <w:t>FRAMEWORK-   information gathering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6"/>
              </w:numPr>
            </w:pPr>
            <w:r>
              <w:t>IAS COW #39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6"/>
              </w:numPr>
            </w:pPr>
            <w:r>
              <w:t>SP session</w:t>
            </w:r>
            <w:r w:rsidR="002146DC">
              <w:t xml:space="preserve"> #2- New Patient</w:t>
            </w:r>
          </w:p>
        </w:tc>
      </w:tr>
      <w:tr w:rsidR="0057290A" w:rsidTr="0014758F">
        <w:tc>
          <w:tcPr>
            <w:tcW w:w="3618" w:type="dxa"/>
          </w:tcPr>
          <w:p w:rsidR="0057290A" w:rsidRDefault="0057290A" w:rsidP="00327B75">
            <w:pPr>
              <w:pStyle w:val="ListParagraph"/>
              <w:numPr>
                <w:ilvl w:val="0"/>
                <w:numId w:val="3"/>
              </w:numPr>
            </w:pPr>
            <w:r>
              <w:t>Init</w:t>
            </w:r>
            <w:r w:rsidR="0014758F">
              <w:t xml:space="preserve">iate and monitor antiretroviral </w:t>
            </w:r>
            <w:r>
              <w:t xml:space="preserve"> </w:t>
            </w:r>
            <w:r w:rsidR="0014758F">
              <w:t>(</w:t>
            </w:r>
            <w:r>
              <w:t>ARV</w:t>
            </w:r>
            <w:r w:rsidR="0014758F">
              <w:t>) treatment</w:t>
            </w: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7"/>
              </w:numPr>
            </w:pPr>
            <w:r>
              <w:t>FRAMEWORK- information transfer/starting new med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7"/>
              </w:numPr>
            </w:pPr>
            <w:r>
              <w:t>IAS COW#59, 47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7"/>
              </w:numPr>
            </w:pPr>
            <w:r>
              <w:t>SP session</w:t>
            </w:r>
            <w:r w:rsidR="002146DC">
              <w:t xml:space="preserve"> #2- New Patient</w:t>
            </w:r>
          </w:p>
        </w:tc>
      </w:tr>
      <w:tr w:rsidR="0057290A" w:rsidTr="0014758F">
        <w:tc>
          <w:tcPr>
            <w:tcW w:w="3618" w:type="dxa"/>
          </w:tcPr>
          <w:p w:rsidR="0057290A" w:rsidRDefault="0014758F" w:rsidP="00327B75">
            <w:pPr>
              <w:pStyle w:val="ListParagraph"/>
              <w:numPr>
                <w:ilvl w:val="0"/>
                <w:numId w:val="3"/>
              </w:numPr>
            </w:pPr>
            <w:r>
              <w:t>Counsel a patient on reducing high risk behaviors</w:t>
            </w:r>
          </w:p>
          <w:p w:rsidR="0014758F" w:rsidRDefault="0014758F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4"/>
              </w:numPr>
            </w:pPr>
            <w:r>
              <w:t>Motivational Interviewing</w:t>
            </w:r>
          </w:p>
          <w:p w:rsidR="0057290A" w:rsidRDefault="0057290A" w:rsidP="00560649">
            <w:pPr>
              <w:pStyle w:val="ListParagraph"/>
              <w:numPr>
                <w:ilvl w:val="0"/>
                <w:numId w:val="4"/>
              </w:numPr>
            </w:pPr>
            <w:r>
              <w:t>IAS COW #65</w:t>
            </w:r>
          </w:p>
          <w:p w:rsidR="0057290A" w:rsidRDefault="0057290A" w:rsidP="0014758F">
            <w:pPr>
              <w:pStyle w:val="ListParagraph"/>
              <w:numPr>
                <w:ilvl w:val="0"/>
                <w:numId w:val="4"/>
              </w:numPr>
            </w:pPr>
            <w:r>
              <w:t>SP session</w:t>
            </w:r>
            <w:r w:rsidR="002146DC">
              <w:t>#2- New Patient</w:t>
            </w:r>
          </w:p>
        </w:tc>
      </w:tr>
      <w:tr w:rsidR="0057290A" w:rsidTr="0014758F">
        <w:tc>
          <w:tcPr>
            <w:tcW w:w="3618" w:type="dxa"/>
          </w:tcPr>
          <w:p w:rsidR="0057290A" w:rsidRPr="0014758F" w:rsidRDefault="0014758F" w:rsidP="0014758F">
            <w:pPr>
              <w:numPr>
                <w:ilvl w:val="0"/>
                <w:numId w:val="2"/>
              </w:numPr>
            </w:pPr>
            <w:r w:rsidRPr="00E43F66">
              <w:rPr>
                <w:rFonts w:ascii="Times New Roman" w:hAnsi="Times New Roman" w:cs="Times New Roman"/>
              </w:rPr>
              <w:t>Provide prophylaxis and treatment of opportunistic infections</w:t>
            </w:r>
          </w:p>
          <w:p w:rsidR="0014758F" w:rsidRDefault="0014758F" w:rsidP="0014758F">
            <w:pPr>
              <w:ind w:left="720"/>
            </w:pPr>
          </w:p>
        </w:tc>
        <w:tc>
          <w:tcPr>
            <w:tcW w:w="4230" w:type="dxa"/>
          </w:tcPr>
          <w:p w:rsidR="0057290A" w:rsidRDefault="002146DC" w:rsidP="0057290A">
            <w:pPr>
              <w:pStyle w:val="ListParagraph"/>
              <w:numPr>
                <w:ilvl w:val="0"/>
                <w:numId w:val="10"/>
              </w:numPr>
            </w:pPr>
            <w:r>
              <w:t xml:space="preserve">Chart Stimulated recall (CSR) </w:t>
            </w:r>
            <w:r w:rsidR="0057290A">
              <w:t>/Chart Audit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Manage HIV infection in setting of reproductive issues (infertility, pregnancy)</w:t>
            </w:r>
          </w:p>
          <w:p w:rsidR="0057290A" w:rsidRDefault="0057290A" w:rsidP="0014758F">
            <w:pPr>
              <w:ind w:left="360"/>
            </w:pPr>
          </w:p>
        </w:tc>
        <w:tc>
          <w:tcPr>
            <w:tcW w:w="4230" w:type="dxa"/>
          </w:tcPr>
          <w:p w:rsidR="0057290A" w:rsidRDefault="0057290A" w:rsidP="0057290A">
            <w:pPr>
              <w:pStyle w:val="ListParagraph"/>
              <w:numPr>
                <w:ilvl w:val="0"/>
                <w:numId w:val="8"/>
              </w:numPr>
            </w:pPr>
            <w:r>
              <w:t>IAS COW #51, 42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Assess and manage patients with of HIV associated metabolic disorders ( lipids, HTN, CAD risk reduction, bone, renal, etc.)</w:t>
            </w:r>
          </w:p>
          <w:p w:rsidR="0057290A" w:rsidRDefault="0057290A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57290A">
            <w:pPr>
              <w:pStyle w:val="ListParagraph"/>
              <w:numPr>
                <w:ilvl w:val="0"/>
                <w:numId w:val="9"/>
              </w:numPr>
            </w:pPr>
            <w:r>
              <w:t>IAS COW #23, 24, 64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Provide Mental Health and Substance Abuse Management in clinical setting.</w:t>
            </w:r>
          </w:p>
          <w:p w:rsidR="0057290A" w:rsidRDefault="0057290A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11"/>
              </w:numPr>
            </w:pPr>
            <w:r>
              <w:t>SBIRT session and SP</w:t>
            </w:r>
          </w:p>
          <w:p w:rsidR="0057290A" w:rsidRDefault="0057290A" w:rsidP="0057290A">
            <w:pPr>
              <w:pStyle w:val="ListParagraph"/>
              <w:numPr>
                <w:ilvl w:val="0"/>
                <w:numId w:val="11"/>
              </w:numPr>
            </w:pPr>
            <w:r>
              <w:t>IAS COW#62, 8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Provide appropriate age-based and HIV-associated preventative services to patients.</w:t>
            </w:r>
          </w:p>
          <w:p w:rsidR="0057290A" w:rsidRDefault="0057290A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560649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IAS COW</w:t>
            </w:r>
            <w:r w:rsidR="009175CD">
              <w:t>#</w:t>
            </w:r>
            <w:r>
              <w:t xml:space="preserve"> 75, 77</w:t>
            </w:r>
          </w:p>
          <w:p w:rsidR="0057290A" w:rsidRDefault="0057290A" w:rsidP="0057290A">
            <w:pPr>
              <w:pStyle w:val="ListParagraph"/>
            </w:pPr>
            <w:r>
              <w:t>Smoking cessation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lastRenderedPageBreak/>
              <w:t>Manage patients co-infected with HIV-HCV</w:t>
            </w:r>
          </w:p>
          <w:p w:rsidR="0057290A" w:rsidRDefault="0057290A" w:rsidP="0014758F"/>
        </w:tc>
        <w:tc>
          <w:tcPr>
            <w:tcW w:w="4230" w:type="dxa"/>
          </w:tcPr>
          <w:p w:rsidR="0057290A" w:rsidRDefault="0057290A" w:rsidP="0014758F">
            <w:pPr>
              <w:pStyle w:val="ListParagraph"/>
              <w:numPr>
                <w:ilvl w:val="0"/>
                <w:numId w:val="12"/>
              </w:numPr>
            </w:pPr>
            <w:r>
              <w:t>IAS COW #60,70</w:t>
            </w: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Provide care to GLBTQ patients with HIV</w:t>
            </w:r>
          </w:p>
          <w:p w:rsidR="0057290A" w:rsidRDefault="0057290A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2146D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7290A" w:rsidTr="0014758F">
        <w:tc>
          <w:tcPr>
            <w:tcW w:w="3618" w:type="dxa"/>
          </w:tcPr>
          <w:p w:rsidR="0014758F" w:rsidRPr="00E43F66" w:rsidRDefault="0014758F" w:rsidP="001475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3F66">
              <w:rPr>
                <w:rFonts w:ascii="Times New Roman" w:hAnsi="Times New Roman" w:cs="Times New Roman"/>
              </w:rPr>
              <w:t>Provide effective end of life/palliative care to patients</w:t>
            </w:r>
          </w:p>
          <w:p w:rsidR="0057290A" w:rsidRDefault="0057290A" w:rsidP="0014758F">
            <w:pPr>
              <w:pStyle w:val="ListParagraph"/>
            </w:pPr>
          </w:p>
        </w:tc>
        <w:tc>
          <w:tcPr>
            <w:tcW w:w="4230" w:type="dxa"/>
          </w:tcPr>
          <w:p w:rsidR="0057290A" w:rsidRDefault="0057290A" w:rsidP="0014758F">
            <w:pPr>
              <w:pStyle w:val="ListParagraph"/>
              <w:numPr>
                <w:ilvl w:val="0"/>
                <w:numId w:val="15"/>
              </w:numPr>
            </w:pPr>
            <w:r>
              <w:t>IAS COW# 63</w:t>
            </w:r>
          </w:p>
        </w:tc>
      </w:tr>
    </w:tbl>
    <w:p w:rsidR="00327B75" w:rsidRDefault="002B13CB" w:rsidP="00327B75">
      <w:pPr>
        <w:pStyle w:val="ListParagraph"/>
        <w:ind w:left="360"/>
      </w:pPr>
      <w:r>
        <w:t>*</w:t>
      </w:r>
      <w:r w:rsidR="0057290A">
        <w:t xml:space="preserve">For all 12 EPAs, direct clinical observation in both the inpatient and outpatient setting will serve as the </w:t>
      </w:r>
      <w:r w:rsidR="009175CD">
        <w:t xml:space="preserve">primary </w:t>
      </w:r>
      <w:r w:rsidR="0057290A">
        <w:t xml:space="preserve">basis </w:t>
      </w:r>
      <w:r w:rsidR="009175CD">
        <w:t>for</w:t>
      </w:r>
      <w:r w:rsidR="0057290A">
        <w:t xml:space="preserve"> evaluation. The specific assessment tools are designed to provide EPA-specific information regarding trainee performance. </w:t>
      </w:r>
    </w:p>
    <w:sectPr w:rsidR="00327B75" w:rsidSect="00CE5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50C"/>
    <w:multiLevelType w:val="hybridMultilevel"/>
    <w:tmpl w:val="2BB4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10E"/>
    <w:multiLevelType w:val="multilevel"/>
    <w:tmpl w:val="7C72A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CA3385"/>
    <w:multiLevelType w:val="hybridMultilevel"/>
    <w:tmpl w:val="534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F4E"/>
    <w:multiLevelType w:val="hybridMultilevel"/>
    <w:tmpl w:val="FE0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222E"/>
    <w:multiLevelType w:val="hybridMultilevel"/>
    <w:tmpl w:val="DE92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6045"/>
    <w:multiLevelType w:val="hybridMultilevel"/>
    <w:tmpl w:val="0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787B"/>
    <w:multiLevelType w:val="hybridMultilevel"/>
    <w:tmpl w:val="B6A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F05"/>
    <w:multiLevelType w:val="hybridMultilevel"/>
    <w:tmpl w:val="14E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57BF"/>
    <w:multiLevelType w:val="hybridMultilevel"/>
    <w:tmpl w:val="447C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E53B6"/>
    <w:multiLevelType w:val="hybridMultilevel"/>
    <w:tmpl w:val="3C80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4A51"/>
    <w:multiLevelType w:val="hybridMultilevel"/>
    <w:tmpl w:val="26A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A44"/>
    <w:multiLevelType w:val="hybridMultilevel"/>
    <w:tmpl w:val="0B0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024CD"/>
    <w:multiLevelType w:val="hybridMultilevel"/>
    <w:tmpl w:val="FC6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D0313"/>
    <w:multiLevelType w:val="hybridMultilevel"/>
    <w:tmpl w:val="3B80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4797A"/>
    <w:multiLevelType w:val="hybridMultilevel"/>
    <w:tmpl w:val="EF44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4BE9"/>
    <w:multiLevelType w:val="hybridMultilevel"/>
    <w:tmpl w:val="A7D05E4C"/>
    <w:lvl w:ilvl="0" w:tplc="50A65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F25D2"/>
    <w:multiLevelType w:val="hybridMultilevel"/>
    <w:tmpl w:val="4E1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C7C42"/>
    <w:multiLevelType w:val="hybridMultilevel"/>
    <w:tmpl w:val="459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E1"/>
    <w:rsid w:val="000C4597"/>
    <w:rsid w:val="0014758F"/>
    <w:rsid w:val="001A6CE7"/>
    <w:rsid w:val="002146DC"/>
    <w:rsid w:val="0029085F"/>
    <w:rsid w:val="002B13CB"/>
    <w:rsid w:val="00327B75"/>
    <w:rsid w:val="003647C4"/>
    <w:rsid w:val="00456DE1"/>
    <w:rsid w:val="004F1FB9"/>
    <w:rsid w:val="00527600"/>
    <w:rsid w:val="00554F2C"/>
    <w:rsid w:val="00560649"/>
    <w:rsid w:val="0057290A"/>
    <w:rsid w:val="00715EB0"/>
    <w:rsid w:val="009175CD"/>
    <w:rsid w:val="00AA5EDF"/>
    <w:rsid w:val="00B11E11"/>
    <w:rsid w:val="00CE5216"/>
    <w:rsid w:val="00DA24BA"/>
    <w:rsid w:val="00D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E1"/>
    <w:pPr>
      <w:ind w:left="720"/>
      <w:contextualSpacing/>
    </w:pPr>
  </w:style>
  <w:style w:type="table" w:styleId="TableGrid">
    <w:name w:val="Table Grid"/>
    <w:basedOn w:val="TableNormal"/>
    <w:uiPriority w:val="59"/>
    <w:rsid w:val="0032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E1"/>
    <w:pPr>
      <w:ind w:left="720"/>
      <w:contextualSpacing/>
    </w:pPr>
  </w:style>
  <w:style w:type="table" w:styleId="TableGrid">
    <w:name w:val="Table Grid"/>
    <w:basedOn w:val="TableNormal"/>
    <w:uiPriority w:val="59"/>
    <w:rsid w:val="0032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Dunne</dc:creator>
  <cp:lastModifiedBy>Barakat, Lydia</cp:lastModifiedBy>
  <cp:revision>2</cp:revision>
  <cp:lastPrinted>2013-06-06T15:45:00Z</cp:lastPrinted>
  <dcterms:created xsi:type="dcterms:W3CDTF">2015-06-23T15:42:00Z</dcterms:created>
  <dcterms:modified xsi:type="dcterms:W3CDTF">2015-06-23T15:42:00Z</dcterms:modified>
</cp:coreProperties>
</file>